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7777777" w:rsidR="00494CC4" w:rsidRDefault="00960DA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262C7E1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3C6978A4" w14:textId="77777777" w:rsidR="00A96C68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545F9F4" w14:textId="77777777" w:rsidR="00A96C68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5892DF54" w14:textId="77777777" w:rsidR="00A96C68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158E839E" w14:textId="77777777" w:rsidR="00A96C68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o.o</w:t>
                            </w:r>
                            <w:proofErr w:type="spellEnd"/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75BFFAB" w14:textId="77777777" w:rsidR="00A96C68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6D2F6130" w14:textId="3F6C1099" w:rsidR="004E7361" w:rsidRPr="00A96C68" w:rsidRDefault="00A96C68" w:rsidP="00A96C68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A96C68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Biuro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262C7E1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3C6978A4" w14:textId="77777777" w:rsidR="00A96C68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A96C68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545F9F4" w14:textId="77777777" w:rsidR="00A96C68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5892DF54" w14:textId="77777777" w:rsidR="00A96C68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158E839E" w14:textId="77777777" w:rsidR="00A96C68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o.o</w:t>
                      </w:r>
                      <w:proofErr w:type="spellEnd"/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175BFFAB" w14:textId="77777777" w:rsidR="00A96C68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6D2F6130" w14:textId="3F6C1099" w:rsidR="004E7361" w:rsidRPr="00A96C68" w:rsidRDefault="00A96C68" w:rsidP="00A96C68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A96C68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Biuro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6E00067" w14:textId="4D287148" w:rsidR="00D159CA" w:rsidRDefault="003806C0" w:rsidP="00D159CA">
      <w:pPr>
        <w:spacing w:after="240"/>
        <w:rPr>
          <w:rFonts w:ascii="Barlow" w:hAnsi="Barlow" w:cs="Arial"/>
          <w:b/>
          <w:bCs/>
          <w:sz w:val="22"/>
          <w:szCs w:val="22"/>
          <w:lang w:val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MIASTA ROZWIJAJĄ SIĘ – CO DALEJ Z ZIELONĄ MOBILNOŚCIĄ?</w:t>
      </w:r>
    </w:p>
    <w:p w14:paraId="4251CF49" w14:textId="6B203138" w:rsidR="003806C0" w:rsidRPr="00A96C68" w:rsidRDefault="004E7361" w:rsidP="003806C0">
      <w:pPr>
        <w:rPr>
          <w:rFonts w:ascii="Barlow" w:hAnsi="Barlow"/>
          <w:sz w:val="22"/>
          <w:szCs w:val="22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AF0453">
        <w:rPr>
          <w:rFonts w:ascii="Barlow" w:hAnsi="Barlow" w:cs="Arial"/>
          <w:sz w:val="22"/>
          <w:szCs w:val="22"/>
          <w:lang w:val="pl-PL"/>
        </w:rPr>
        <w:t>12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3806C0">
        <w:rPr>
          <w:rFonts w:ascii="Barlow" w:hAnsi="Barlow" w:cs="Arial"/>
          <w:sz w:val="22"/>
          <w:szCs w:val="22"/>
          <w:lang w:val="pl-PL"/>
        </w:rPr>
        <w:t>maja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proofErr w:type="spellStart"/>
      <w:r w:rsidR="003806C0" w:rsidRPr="00A96C68">
        <w:rPr>
          <w:rFonts w:ascii="Barlow" w:hAnsi="Barlow"/>
          <w:sz w:val="22"/>
          <w:szCs w:val="22"/>
        </w:rPr>
        <w:t>Nasze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miasta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się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zmieniają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. </w:t>
      </w:r>
      <w:proofErr w:type="spellStart"/>
      <w:r w:rsidR="003806C0" w:rsidRPr="00A96C68">
        <w:rPr>
          <w:rFonts w:ascii="Barlow" w:hAnsi="Barlow"/>
          <w:sz w:val="22"/>
          <w:szCs w:val="22"/>
        </w:rPr>
        <w:t>Stają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się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inteligentniejsze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</w:t>
      </w:r>
      <w:proofErr w:type="spellStart"/>
      <w:r w:rsidR="003806C0" w:rsidRPr="00A96C68">
        <w:rPr>
          <w:rFonts w:ascii="Barlow" w:hAnsi="Barlow"/>
          <w:sz w:val="22"/>
          <w:szCs w:val="22"/>
        </w:rPr>
        <w:t>ludzie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przemieszczają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się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w </w:t>
      </w:r>
      <w:proofErr w:type="spellStart"/>
      <w:r w:rsidR="003806C0" w:rsidRPr="00A96C68">
        <w:rPr>
          <w:rFonts w:ascii="Barlow" w:hAnsi="Barlow"/>
          <w:sz w:val="22"/>
          <w:szCs w:val="22"/>
        </w:rPr>
        <w:t>inny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sposób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i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zastanawiają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się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nad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wpływem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swojego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życia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na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środowisko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. </w:t>
      </w:r>
      <w:proofErr w:type="spellStart"/>
      <w:r w:rsidR="003806C0" w:rsidRPr="00A96C68">
        <w:rPr>
          <w:rFonts w:ascii="Barlow" w:hAnsi="Barlow"/>
          <w:sz w:val="22"/>
          <w:szCs w:val="22"/>
        </w:rPr>
        <w:t>Oznacza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to, </w:t>
      </w:r>
      <w:proofErr w:type="spellStart"/>
      <w:r w:rsidR="003806C0" w:rsidRPr="00A96C68">
        <w:rPr>
          <w:rFonts w:ascii="Barlow" w:hAnsi="Barlow"/>
          <w:sz w:val="22"/>
          <w:szCs w:val="22"/>
        </w:rPr>
        <w:t>że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miast</w:t>
      </w:r>
      <w:r w:rsidR="00A96C68">
        <w:rPr>
          <w:rFonts w:ascii="Barlow" w:hAnsi="Barlow"/>
          <w:sz w:val="22"/>
          <w:szCs w:val="22"/>
        </w:rPr>
        <w:t>o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ewoluuj</w:t>
      </w:r>
      <w:r w:rsidR="00A96C68">
        <w:rPr>
          <w:rFonts w:ascii="Barlow" w:hAnsi="Barlow"/>
          <w:sz w:val="22"/>
          <w:szCs w:val="22"/>
        </w:rPr>
        <w:t>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a </w:t>
      </w:r>
      <w:proofErr w:type="spellStart"/>
      <w:r w:rsidR="003806C0" w:rsidRPr="00A96C68">
        <w:rPr>
          <w:rFonts w:ascii="Barlow" w:hAnsi="Barlow"/>
          <w:sz w:val="22"/>
          <w:szCs w:val="22"/>
        </w:rPr>
        <w:t>przyjazna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dla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klimatu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mobilność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już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teraz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odgrywa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ogromną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rolę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w </w:t>
      </w:r>
      <w:proofErr w:type="spellStart"/>
      <w:r w:rsidR="003806C0" w:rsidRPr="00A96C68">
        <w:rPr>
          <w:rFonts w:ascii="Barlow" w:hAnsi="Barlow"/>
          <w:sz w:val="22"/>
          <w:szCs w:val="22"/>
        </w:rPr>
        <w:t>tej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transformacji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. </w:t>
      </w:r>
      <w:proofErr w:type="spellStart"/>
      <w:r w:rsidR="003806C0" w:rsidRPr="00A96C68">
        <w:rPr>
          <w:rFonts w:ascii="Barlow" w:hAnsi="Barlow"/>
          <w:sz w:val="22"/>
          <w:szCs w:val="22"/>
        </w:rPr>
        <w:t>Niezależnie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od </w:t>
      </w:r>
      <w:proofErr w:type="spellStart"/>
      <w:r w:rsidR="003806C0" w:rsidRPr="00A96C68">
        <w:rPr>
          <w:rFonts w:ascii="Barlow" w:hAnsi="Barlow"/>
          <w:sz w:val="22"/>
          <w:szCs w:val="22"/>
        </w:rPr>
        <w:t>tego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</w:t>
      </w:r>
      <w:proofErr w:type="spellStart"/>
      <w:r w:rsidR="003806C0" w:rsidRPr="00A96C68">
        <w:rPr>
          <w:rFonts w:ascii="Barlow" w:hAnsi="Barlow"/>
          <w:sz w:val="22"/>
          <w:szCs w:val="22"/>
        </w:rPr>
        <w:t>czy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mieszkańcy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korzystają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z </w:t>
      </w:r>
      <w:proofErr w:type="spellStart"/>
      <w:r w:rsidR="003806C0" w:rsidRPr="00A96C68">
        <w:rPr>
          <w:rFonts w:ascii="Barlow" w:hAnsi="Barlow"/>
          <w:sz w:val="22"/>
          <w:szCs w:val="22"/>
        </w:rPr>
        <w:t>rozwiązań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mikromobilności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</w:t>
      </w:r>
      <w:proofErr w:type="spellStart"/>
      <w:r w:rsidR="003806C0" w:rsidRPr="00A96C68">
        <w:rPr>
          <w:rFonts w:ascii="Barlow" w:hAnsi="Barlow"/>
          <w:sz w:val="22"/>
          <w:szCs w:val="22"/>
        </w:rPr>
        <w:t>takich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jak </w:t>
      </w:r>
      <w:proofErr w:type="spellStart"/>
      <w:r w:rsidR="003806C0" w:rsidRPr="00A96C68">
        <w:rPr>
          <w:rFonts w:ascii="Barlow" w:hAnsi="Barlow"/>
          <w:sz w:val="22"/>
          <w:szCs w:val="22"/>
        </w:rPr>
        <w:t>skutery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i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rowery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elektryczne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</w:t>
      </w:r>
      <w:proofErr w:type="spellStart"/>
      <w:r w:rsidR="003806C0" w:rsidRPr="00A96C68">
        <w:rPr>
          <w:rFonts w:ascii="Barlow" w:hAnsi="Barlow"/>
          <w:sz w:val="22"/>
          <w:szCs w:val="22"/>
        </w:rPr>
        <w:t>czy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też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wybierają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autobus </w:t>
      </w:r>
      <w:proofErr w:type="spellStart"/>
      <w:r w:rsidR="003806C0" w:rsidRPr="00A96C68">
        <w:rPr>
          <w:rFonts w:ascii="Barlow" w:hAnsi="Barlow"/>
          <w:sz w:val="22"/>
          <w:szCs w:val="22"/>
        </w:rPr>
        <w:t>elektryczn</w:t>
      </w:r>
      <w:r w:rsidR="00A96C68">
        <w:rPr>
          <w:rFonts w:ascii="Barlow" w:hAnsi="Barlow"/>
          <w:sz w:val="22"/>
          <w:szCs w:val="22"/>
        </w:rPr>
        <w:t>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aby </w:t>
      </w:r>
      <w:proofErr w:type="spellStart"/>
      <w:r w:rsidR="003806C0" w:rsidRPr="00A96C68">
        <w:rPr>
          <w:rFonts w:ascii="Barlow" w:hAnsi="Barlow"/>
          <w:sz w:val="22"/>
          <w:szCs w:val="22"/>
        </w:rPr>
        <w:t>dojechać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do </w:t>
      </w:r>
      <w:proofErr w:type="spellStart"/>
      <w:r w:rsidR="003806C0" w:rsidRPr="00A96C68">
        <w:rPr>
          <w:rFonts w:ascii="Barlow" w:hAnsi="Barlow"/>
          <w:sz w:val="22"/>
          <w:szCs w:val="22"/>
        </w:rPr>
        <w:t>pracy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, w </w:t>
      </w:r>
      <w:proofErr w:type="spellStart"/>
      <w:r w:rsidR="003806C0" w:rsidRPr="00A96C68">
        <w:rPr>
          <w:rFonts w:ascii="Barlow" w:hAnsi="Barlow"/>
          <w:sz w:val="22"/>
          <w:szCs w:val="22"/>
        </w:rPr>
        <w:t>miastach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na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całym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świecie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zachodzi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wyraźna</w:t>
      </w:r>
      <w:proofErr w:type="spellEnd"/>
      <w:r w:rsidR="003806C0" w:rsidRPr="00A96C68">
        <w:rPr>
          <w:rFonts w:ascii="Barlow" w:hAnsi="Barlow"/>
          <w:sz w:val="22"/>
          <w:szCs w:val="22"/>
        </w:rPr>
        <w:t xml:space="preserve"> </w:t>
      </w:r>
      <w:proofErr w:type="spellStart"/>
      <w:r w:rsidR="003806C0" w:rsidRPr="00A96C68">
        <w:rPr>
          <w:rFonts w:ascii="Barlow" w:hAnsi="Barlow"/>
          <w:sz w:val="22"/>
          <w:szCs w:val="22"/>
        </w:rPr>
        <w:t>zmiana</w:t>
      </w:r>
      <w:proofErr w:type="spellEnd"/>
      <w:r w:rsidR="003806C0" w:rsidRPr="00A96C68">
        <w:rPr>
          <w:rFonts w:ascii="Barlow" w:hAnsi="Barlow"/>
          <w:sz w:val="22"/>
          <w:szCs w:val="22"/>
        </w:rPr>
        <w:t>.</w:t>
      </w:r>
    </w:p>
    <w:p w14:paraId="5789ED8C" w14:textId="6F04D77E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Elektryfikacja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to trend,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który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został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zauważony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wiele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producentów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OEM, 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a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dodatkowo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jest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napędzany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przepisy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VECTO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dotyczące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emisji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spalin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Jest to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zadowoleniem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przyjmowane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mieszkańców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po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jak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pandemia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rzuciła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światło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lokalne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zanieczyszczenia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hyperlink r:id="rId11" w:history="1"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Analiza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49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brytyjskich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miast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w 2020 </w:t>
        </w:r>
      </w:hyperlink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roku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wykazała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chociaż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wiosenna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blokada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obniżyła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poziom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NO2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średnio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o 38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%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>, 80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% z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powróciło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do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poziomu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zanieczyszczenia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sprzed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pandemii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616AFF61" w14:textId="301FB269" w:rsidR="003806C0" w:rsidRPr="003806C0" w:rsidRDefault="00B120F4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>
        <w:rPr>
          <w:rFonts w:ascii="Barlow" w:hAnsi="Barlow"/>
          <w:color w:val="212529"/>
          <w:spacing w:val="2"/>
          <w:sz w:val="22"/>
          <w:szCs w:val="22"/>
        </w:rPr>
        <w:t>Połączony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elektryczny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transport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publiczny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odgrywa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dużą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rolę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ewolucji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miast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całej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Europie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Wiele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miast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już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eksploatuje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autobusy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napędem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elektrycznym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baterie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ogniwa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paliwowe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, ale co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dalej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ekologiczną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mobilnością</w:t>
      </w:r>
      <w:proofErr w:type="spellEnd"/>
      <w:r w:rsidR="003806C0" w:rsidRPr="003806C0">
        <w:rPr>
          <w:rFonts w:ascii="Barlow" w:hAnsi="Barlow"/>
          <w:color w:val="212529"/>
          <w:spacing w:val="2"/>
          <w:sz w:val="22"/>
          <w:szCs w:val="22"/>
        </w:rPr>
        <w:t>?</w:t>
      </w:r>
    </w:p>
    <w:p w14:paraId="60D41F2D" w14:textId="77777777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Przyszłość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jest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autonomiczna</w:t>
      </w:r>
      <w:proofErr w:type="spellEnd"/>
    </w:p>
    <w:p w14:paraId="6361A4CB" w14:textId="6F9BCF59" w:rsidR="00AF0453" w:rsidRDefault="00AF0453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Trwają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testy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autonomicznych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półautonomicznych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autobusów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, aby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przenieść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e</w:t>
      </w:r>
      <w:r w:rsidR="00B8642B">
        <w:rPr>
          <w:rFonts w:ascii="Barlow" w:hAnsi="Barlow"/>
          <w:color w:val="212529"/>
          <w:spacing w:val="2"/>
          <w:sz w:val="22"/>
          <w:szCs w:val="22"/>
        </w:rPr>
        <w:t>-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mobilność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wyższy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poziom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. Na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całym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świecie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Goodyear jest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zaangażowany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szereg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różnych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projektów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badawczych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udziałem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pojazdów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Ważne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jest, aby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przestudiować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obszary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eksploatacji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konserwacji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którymi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należy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zająć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przypadku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pojazdów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elektrycznych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B8642B" w:rsidRPr="00B8642B">
        <w:rPr>
          <w:rFonts w:ascii="Barlow" w:hAnsi="Barlow"/>
          <w:color w:val="212529"/>
          <w:spacing w:val="2"/>
          <w:sz w:val="22"/>
          <w:szCs w:val="22"/>
        </w:rPr>
        <w:t>–</w:t>
      </w:r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tym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także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możliwe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opcje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rozwoju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technologii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AF0453">
        <w:rPr>
          <w:rFonts w:ascii="Barlow" w:hAnsi="Barlow"/>
          <w:color w:val="212529"/>
          <w:spacing w:val="2"/>
          <w:sz w:val="22"/>
          <w:szCs w:val="22"/>
        </w:rPr>
        <w:t>oponiarskich</w:t>
      </w:r>
      <w:proofErr w:type="spellEnd"/>
      <w:r w:rsidRPr="00AF0453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1FDAA7F4" w14:textId="43BDCCAB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W </w:t>
      </w:r>
      <w:r w:rsidR="00B120F4">
        <w:rPr>
          <w:rFonts w:ascii="Barlow" w:hAnsi="Barlow"/>
          <w:color w:val="212529"/>
          <w:spacing w:val="2"/>
          <w:sz w:val="22"/>
          <w:szCs w:val="22"/>
        </w:rPr>
        <w:t xml:space="preserve">centrum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Luksemburg</w:t>
      </w:r>
      <w:r w:rsidR="00B120F4">
        <w:rPr>
          <w:rFonts w:ascii="Barlow" w:hAnsi="Barlow"/>
          <w:color w:val="212529"/>
          <w:spacing w:val="2"/>
          <w:sz w:val="22"/>
          <w:szCs w:val="22"/>
        </w:rPr>
        <w:t>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firma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wyposażyła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trzy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hyperlink r:id="rId12" w:history="1"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w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pełni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elektryczne</w:t>
        </w:r>
        <w:proofErr w:type="spellEnd"/>
      </w:hyperlink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hyperlink r:id="rId13" w:history="1"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samojezdne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autobusy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wahadłowe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</w:hyperlink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inteligentne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aby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lepiej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połączyć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obszary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handlowe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wokół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każdym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wyposażone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czujniki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zbierające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dane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operacyjne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które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następnie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wykorzystywane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inżynierów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naukowców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Goodyear do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tworzenia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map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konserwacji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predykcyjnej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korzyści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2269EDEB" w14:textId="450CE18B" w:rsid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Nawet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teraz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technologia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ta jest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wdrażana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celu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wsparcia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przejścia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do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zaawansowanego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transportu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związku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istnieją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dwie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podstawowe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kwestie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dotyczące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Pierwsz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jest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7AF10469" w14:textId="0B432A48" w:rsidR="00A96C68" w:rsidRDefault="00A96C68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</w:p>
    <w:p w14:paraId="030AC49A" w14:textId="77777777" w:rsidR="00B8642B" w:rsidRDefault="00B8642B" w:rsidP="003806C0">
      <w:pPr>
        <w:pStyle w:val="NormalnyWeb"/>
        <w:shd w:val="clear" w:color="auto" w:fill="FFFFFF"/>
        <w:spacing w:before="180" w:beforeAutospacing="0" w:after="180" w:afterAutospacing="0"/>
        <w:rPr>
          <w:rFonts w:ascii="Barlow" w:hAnsi="Barlow"/>
          <w:color w:val="212529"/>
          <w:spacing w:val="2"/>
          <w:sz w:val="22"/>
          <w:szCs w:val="22"/>
        </w:rPr>
      </w:pPr>
    </w:p>
    <w:p w14:paraId="54D925A3" w14:textId="29998EDF" w:rsidR="003806C0" w:rsidRPr="003806C0" w:rsidRDefault="003806C0" w:rsidP="003806C0">
      <w:pPr>
        <w:pStyle w:val="NormalnyWeb"/>
        <w:shd w:val="clear" w:color="auto" w:fill="FFFFFF"/>
        <w:spacing w:before="180" w:beforeAutospacing="0" w:after="180" w:afterAutospacing="0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Minimalizacja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przerw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ładowanie</w:t>
      </w:r>
      <w:proofErr w:type="spellEnd"/>
    </w:p>
    <w:p w14:paraId="2985D32E" w14:textId="58C1F420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Aby system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transportu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miejskiego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działał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CF69EB">
        <w:rPr>
          <w:rFonts w:ascii="Barlow" w:hAnsi="Barlow"/>
          <w:color w:val="212529"/>
          <w:spacing w:val="2"/>
          <w:sz w:val="22"/>
          <w:szCs w:val="22"/>
        </w:rPr>
        <w:t>wydajnie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musi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być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przewidywalny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więcej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kilometrów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przejechać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jeden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autobus,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więcej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osób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obsłużyć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bez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opóźnień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odgrywają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dużą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rolę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ponieważ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nawet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niewielki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spadek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ciśnienia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zmniejszyć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ciężkiego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pojazdu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takiego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jak autobus. </w:t>
      </w:r>
      <w:proofErr w:type="spellStart"/>
      <w:r w:rsidR="00CF69EB">
        <w:rPr>
          <w:rFonts w:ascii="Barlow" w:hAnsi="Barlow"/>
          <w:color w:val="212529"/>
          <w:spacing w:val="2"/>
          <w:sz w:val="22"/>
          <w:szCs w:val="22"/>
        </w:rPr>
        <w:t>O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>p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ory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CF69EB">
        <w:rPr>
          <w:rFonts w:ascii="Barlow" w:hAnsi="Barlow"/>
          <w:color w:val="212529"/>
          <w:spacing w:val="2"/>
          <w:sz w:val="22"/>
          <w:szCs w:val="22"/>
        </w:rPr>
        <w:t>również</w:t>
      </w:r>
      <w:proofErr w:type="spellEnd"/>
      <w:r w:rsidR="00CF69EB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gą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wpływ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całkowity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pojazdu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Aby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zmaksymalizować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,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Goodyar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przeprowadził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testy z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użyciem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niski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opor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różnych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Tego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rodzaju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są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korzystne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tylko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dla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pojazdów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ale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także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dla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tych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napędzanych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silnikiem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spalinowym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ponieważ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pomagają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osiągnąć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cele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VECTO.</w:t>
      </w:r>
    </w:p>
    <w:p w14:paraId="0E0353F2" w14:textId="1651E951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więcej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energii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musi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zużyć</w:t>
      </w:r>
      <w:proofErr w:type="spellEnd"/>
      <w:r w:rsidR="00A96C68" w:rsidRP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 w:rsidRPr="003806C0">
        <w:rPr>
          <w:rFonts w:ascii="Barlow" w:hAnsi="Barlow"/>
          <w:color w:val="212529"/>
          <w:spacing w:val="2"/>
          <w:sz w:val="22"/>
          <w:szCs w:val="22"/>
        </w:rPr>
        <w:t>pojazd</w:t>
      </w:r>
      <w:proofErr w:type="spellEnd"/>
      <w:r w:rsidR="00A96C68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 w:rsidRPr="003806C0">
        <w:rPr>
          <w:rFonts w:ascii="Barlow" w:hAnsi="Barlow"/>
          <w:color w:val="212529"/>
          <w:spacing w:val="2"/>
          <w:sz w:val="22"/>
          <w:szCs w:val="22"/>
        </w:rPr>
        <w:t>elektryczny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aby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obrócić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koła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więcej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energii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zużyje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jego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akumulator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Zarówno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jak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nawierzchni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drogi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mogą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pozytywnie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lub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negatywnie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wpływać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ory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to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wydawać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 w:rsidRPr="003806C0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="00A96C68"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nieistotn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przypadku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pojedynczej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podróży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ale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zmniejszając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ory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całej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flocie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CF69EB">
        <w:rPr>
          <w:rFonts w:ascii="Barlow" w:hAnsi="Barlow"/>
          <w:color w:val="212529"/>
          <w:spacing w:val="2"/>
          <w:sz w:val="22"/>
          <w:szCs w:val="22"/>
        </w:rPr>
        <w:t>poruszających</w:t>
      </w:r>
      <w:proofErr w:type="spellEnd"/>
      <w:r w:rsidR="00CF69EB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CF69EB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po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mieście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zaoszczędzone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kilometry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szybko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sumują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30B8224A" w14:textId="7FF7FCF7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Powrót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do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zajezdni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doładowanie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to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idealny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moment, aby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sprawdzić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ciśnienie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To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zadanie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jest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proste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dzięki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hyperlink r:id="rId14" w:history="1"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wielokrotnie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nagradzanej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technologii</w:t>
        </w:r>
        <w:proofErr w:type="spellEnd"/>
        <w:r w:rsidR="00B8642B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,</w:t>
        </w:r>
        <w:r w:rsidRPr="00B8642B">
          <w:rPr>
            <w:rStyle w:val="Hipercze"/>
            <w:rFonts w:ascii="Barlow" w:hAnsi="Barlow"/>
            <w:color w:val="004990"/>
            <w:spacing w:val="2"/>
            <w:sz w:val="22"/>
            <w:szCs w:val="22"/>
            <w:u w:val="none"/>
          </w:rPr>
          <w:t xml:space="preserve"> </w:t>
        </w:r>
      </w:hyperlink>
      <w:proofErr w:type="spellStart"/>
      <w:r w:rsidRPr="003806C0">
        <w:rPr>
          <w:rFonts w:ascii="Barlow" w:hAnsi="Barlow"/>
          <w:sz w:val="22"/>
          <w:szCs w:val="22"/>
        </w:rPr>
        <w:t>czytnik</w:t>
      </w:r>
      <w:r w:rsidR="00B8642B">
        <w:rPr>
          <w:rFonts w:ascii="Barlow" w:hAnsi="Barlow"/>
          <w:sz w:val="22"/>
          <w:szCs w:val="22"/>
        </w:rPr>
        <w:t>owi</w:t>
      </w:r>
      <w:proofErr w:type="spellEnd"/>
      <w:r w:rsidRPr="003806C0">
        <w:rPr>
          <w:rFonts w:ascii="Barlow" w:hAnsi="Barlow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sz w:val="22"/>
          <w:szCs w:val="22"/>
        </w:rPr>
        <w:t>najazdowe</w:t>
      </w:r>
      <w:r w:rsidR="00B8642B">
        <w:rPr>
          <w:rFonts w:ascii="Barlow" w:hAnsi="Barlow"/>
          <w:sz w:val="22"/>
          <w:szCs w:val="22"/>
        </w:rPr>
        <w:t>mu</w:t>
      </w:r>
      <w:proofErr w:type="spellEnd"/>
      <w:r w:rsidRPr="003806C0">
        <w:rPr>
          <w:rFonts w:ascii="Barlow" w:hAnsi="Barlow"/>
          <w:sz w:val="22"/>
          <w:szCs w:val="22"/>
        </w:rPr>
        <w:t xml:space="preserve"> 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>Goodyear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 xml:space="preserve"> D</w:t>
      </w:r>
      <w:r w:rsidR="00CF69EB" w:rsidRPr="00CF69EB">
        <w:rPr>
          <w:rFonts w:ascii="Barlow" w:hAnsi="Barlow"/>
          <w:color w:val="212529"/>
          <w:spacing w:val="2"/>
          <w:sz w:val="22"/>
          <w:szCs w:val="22"/>
        </w:rPr>
        <w:t>rive</w:t>
      </w:r>
      <w:r w:rsidR="00B8642B">
        <w:rPr>
          <w:rFonts w:ascii="Barlow" w:hAnsi="Barlow"/>
          <w:color w:val="212529"/>
          <w:spacing w:val="2"/>
          <w:sz w:val="22"/>
          <w:szCs w:val="22"/>
        </w:rPr>
        <w:t>-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O</w:t>
      </w:r>
      <w:r w:rsidR="00CF69EB" w:rsidRPr="00CF69EB">
        <w:rPr>
          <w:rFonts w:ascii="Barlow" w:hAnsi="Barlow"/>
          <w:color w:val="212529"/>
          <w:spacing w:val="2"/>
          <w:sz w:val="22"/>
          <w:szCs w:val="22"/>
        </w:rPr>
        <w:t>ver</w:t>
      </w:r>
      <w:r w:rsidR="00B8642B">
        <w:rPr>
          <w:rFonts w:ascii="Barlow" w:hAnsi="Barlow"/>
          <w:color w:val="212529"/>
          <w:spacing w:val="2"/>
          <w:sz w:val="22"/>
          <w:szCs w:val="22"/>
        </w:rPr>
        <w:t>-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R</w:t>
      </w:r>
      <w:r w:rsidR="00CF69EB" w:rsidRPr="00CF69EB">
        <w:rPr>
          <w:rFonts w:ascii="Barlow" w:hAnsi="Barlow"/>
          <w:color w:val="212529"/>
          <w:spacing w:val="2"/>
          <w:sz w:val="22"/>
          <w:szCs w:val="22"/>
        </w:rPr>
        <w:t>eader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któr</w:t>
      </w:r>
      <w:r w:rsidR="00B8642B">
        <w:rPr>
          <w:rFonts w:ascii="Barlow" w:hAnsi="Barlow"/>
          <w:color w:val="212529"/>
          <w:spacing w:val="2"/>
          <w:sz w:val="22"/>
          <w:szCs w:val="22"/>
        </w:rPr>
        <w:t>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automatycznie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sprawdza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ciśnienie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stan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następnie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przekazuje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informacje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do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menedżera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floty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Dzięki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temu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żaden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autobus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opuści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zajezdni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</w:t>
      </w:r>
      <w:r w:rsidR="00CF69EB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niedopompowanymi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oponami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co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wpływ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zasięg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lub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co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gorsza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powodować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opóźnienia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dla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pasażerów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23082D47" w14:textId="697829A4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Odpowiednie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ciśnienie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niski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ory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mogą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również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poprawić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inną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kwestię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związaną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transportem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: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hałas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0BBDBFB5" w14:textId="77777777" w:rsidR="003806C0" w:rsidRPr="003806C0" w:rsidRDefault="003806C0" w:rsidP="003806C0">
      <w:pPr>
        <w:pStyle w:val="NormalnyWeb"/>
        <w:shd w:val="clear" w:color="auto" w:fill="FFFFFF"/>
        <w:spacing w:before="180" w:beforeAutospacing="0" w:after="180" w:afterAutospacing="0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Zmniejszenie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zanieczyszczenia</w:t>
      </w:r>
      <w:proofErr w:type="spellEnd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b/>
          <w:bCs/>
          <w:color w:val="212529"/>
          <w:spacing w:val="2"/>
          <w:sz w:val="22"/>
          <w:szCs w:val="22"/>
        </w:rPr>
        <w:t>hałasem</w:t>
      </w:r>
      <w:proofErr w:type="spellEnd"/>
    </w:p>
    <w:p w14:paraId="09703E1A" w14:textId="10041842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Bez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hałasu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pochodzącego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silnika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spalinowego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jedynym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hałasem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wytwarzanym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przez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autobus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jest 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ten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powstający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wyniku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jego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kontakt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drogą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o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niższy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opor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toczenia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będą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generować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mniejszy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hałas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standardowe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autobusowe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Jest to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korzystne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tylko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dla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pasażerów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ale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także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dla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pieszych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mieszkańców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320B1987" w14:textId="46A361F7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Technologia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oponiarska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również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szybko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rozwija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Patrząc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sposób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działania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tradycyjnych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A96C68" w:rsidRPr="00A96C68">
        <w:rPr>
          <w:rFonts w:ascii="Barlow" w:hAnsi="Barlow"/>
          <w:color w:val="212529"/>
          <w:spacing w:val="2"/>
          <w:sz w:val="22"/>
          <w:szCs w:val="22"/>
        </w:rPr>
        <w:t>–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dźwięk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rozchodzi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pustej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przestrzeni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wypełnionej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powietrzem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r w:rsidR="00A96C68" w:rsidRPr="00A96C68">
        <w:rPr>
          <w:rFonts w:ascii="Barlow" w:hAnsi="Barlow"/>
          <w:color w:val="212529"/>
          <w:spacing w:val="2"/>
          <w:sz w:val="22"/>
          <w:szCs w:val="22"/>
        </w:rPr>
        <w:t>–</w:t>
      </w:r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konstrukcje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bez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powietrza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takie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jak Goodyear DURAWEB,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mogą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również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pozytywnie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wpływać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środowisko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miejskie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tylko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zmniejszają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one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hałas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drodze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bookmarkStart w:id="0" w:name="_Hlk71542275"/>
      <w:r w:rsidRPr="003806C0">
        <w:rPr>
          <w:rFonts w:ascii="Barlow" w:hAnsi="Barlow"/>
          <w:color w:val="212529"/>
          <w:spacing w:val="2"/>
          <w:sz w:val="22"/>
          <w:szCs w:val="22"/>
        </w:rPr>
        <w:t>–</w:t>
      </w:r>
      <w:bookmarkEnd w:id="0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oponie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wymagającej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powietrza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zagrażają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przebicia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="00EA2FAD">
        <w:rPr>
          <w:rFonts w:ascii="Barlow" w:hAnsi="Barlow"/>
          <w:color w:val="212529"/>
          <w:spacing w:val="2"/>
          <w:sz w:val="22"/>
          <w:szCs w:val="22"/>
        </w:rPr>
        <w:t>Poprawia</w:t>
      </w:r>
      <w:proofErr w:type="spellEnd"/>
      <w:r w:rsidR="00EA2FAD">
        <w:rPr>
          <w:rFonts w:ascii="Barlow" w:hAnsi="Barlow"/>
          <w:color w:val="212529"/>
          <w:spacing w:val="2"/>
          <w:sz w:val="22"/>
          <w:szCs w:val="22"/>
        </w:rPr>
        <w:t xml:space="preserve"> to </w:t>
      </w:r>
      <w:proofErr w:type="spellStart"/>
      <w:r w:rsidR="00EA2FAD">
        <w:rPr>
          <w:rFonts w:ascii="Barlow" w:hAnsi="Barlow"/>
          <w:color w:val="212529"/>
          <w:spacing w:val="2"/>
          <w:sz w:val="22"/>
          <w:szCs w:val="22"/>
        </w:rPr>
        <w:t>dyspozycyjność</w:t>
      </w:r>
      <w:proofErr w:type="spellEnd"/>
      <w:r w:rsidR="00EA2FAD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EA2FAD">
        <w:rPr>
          <w:rFonts w:ascii="Barlow" w:hAnsi="Barlow"/>
          <w:color w:val="212529"/>
          <w:spacing w:val="2"/>
          <w:sz w:val="22"/>
          <w:szCs w:val="22"/>
        </w:rPr>
        <w:t>flot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6EDF1EB7" w14:textId="3E3CE8E6" w:rsidR="003806C0" w:rsidRPr="003806C0" w:rsidRDefault="003806C0" w:rsidP="00A96C68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/>
          <w:color w:val="212529"/>
          <w:spacing w:val="2"/>
          <w:sz w:val="22"/>
          <w:szCs w:val="22"/>
        </w:rPr>
      </w:pP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istotną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częścią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tej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ewolucji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a </w:t>
      </w:r>
      <w:hyperlink r:id="rId15" w:history="1"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prognozy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 </w:t>
        </w:r>
        <w:proofErr w:type="spellStart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>firmy</w:t>
        </w:r>
        <w:proofErr w:type="spellEnd"/>
        <w:r w:rsidRPr="003806C0">
          <w:rPr>
            <w:rStyle w:val="Hipercze"/>
            <w:rFonts w:ascii="Barlow" w:hAnsi="Barlow"/>
            <w:color w:val="004990"/>
            <w:spacing w:val="2"/>
            <w:sz w:val="22"/>
            <w:szCs w:val="22"/>
          </w:rPr>
          <w:t xml:space="preserve"> Interact Analysis </w:t>
        </w:r>
      </w:hyperlink>
      <w:proofErr w:type="spellStart"/>
      <w:r w:rsidR="00EA2FAD">
        <w:rPr>
          <w:rFonts w:ascii="Barlow" w:hAnsi="Barlow"/>
          <w:color w:val="212529"/>
          <w:spacing w:val="2"/>
          <w:sz w:val="22"/>
          <w:szCs w:val="22"/>
        </w:rPr>
        <w:t>wskazują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około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40</w:t>
      </w:r>
      <w:r w:rsidR="00EA2FAD">
        <w:rPr>
          <w:rFonts w:ascii="Barlow" w:hAnsi="Barlow"/>
          <w:color w:val="212529"/>
          <w:spacing w:val="2"/>
          <w:sz w:val="22"/>
          <w:szCs w:val="22"/>
        </w:rPr>
        <w:t xml:space="preserve">%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nowych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autobusów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miejskich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Europie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 2025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roku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będzie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zasilanych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bateriami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elektrycznymi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.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Możemy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oczekiwać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że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w</w:t>
      </w:r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nadchodzących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latach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nasze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miasta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staną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się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bardziej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ekologiczne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, 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czyste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 xml:space="preserve"> </w:t>
      </w:r>
      <w:proofErr w:type="spellStart"/>
      <w:r w:rsidR="00A96C68">
        <w:rPr>
          <w:rFonts w:ascii="Barlow" w:hAnsi="Barlow"/>
          <w:color w:val="212529"/>
          <w:spacing w:val="2"/>
          <w:sz w:val="22"/>
          <w:szCs w:val="22"/>
        </w:rPr>
        <w:t>i</w:t>
      </w:r>
      <w:proofErr w:type="spellEnd"/>
      <w:r w:rsidR="00A96C68">
        <w:rPr>
          <w:rFonts w:ascii="Barlow" w:hAnsi="Barlow"/>
          <w:color w:val="212529"/>
          <w:spacing w:val="2"/>
          <w:sz w:val="22"/>
          <w:szCs w:val="22"/>
        </w:rPr>
        <w:t> </w:t>
      </w:r>
      <w:proofErr w:type="spellStart"/>
      <w:r w:rsidRPr="003806C0">
        <w:rPr>
          <w:rFonts w:ascii="Barlow" w:hAnsi="Barlow"/>
          <w:color w:val="212529"/>
          <w:spacing w:val="2"/>
          <w:sz w:val="22"/>
          <w:szCs w:val="22"/>
        </w:rPr>
        <w:t>inteligentne</w:t>
      </w:r>
      <w:proofErr w:type="spellEnd"/>
      <w:r w:rsidRPr="003806C0">
        <w:rPr>
          <w:rFonts w:ascii="Barlow" w:hAnsi="Barlow"/>
          <w:color w:val="212529"/>
          <w:spacing w:val="2"/>
          <w:sz w:val="22"/>
          <w:szCs w:val="22"/>
        </w:rPr>
        <w:t>.</w:t>
      </w:r>
    </w:p>
    <w:p w14:paraId="00AA480C" w14:textId="77777777" w:rsidR="003806C0" w:rsidRPr="00724F78" w:rsidRDefault="003806C0" w:rsidP="003806C0"/>
    <w:p w14:paraId="3D4DBCA7" w14:textId="1D003905" w:rsidR="009D5494" w:rsidRDefault="004E7361" w:rsidP="00D159CA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  <w:proofErr w:type="spellEnd"/>
    </w:p>
    <w:p w14:paraId="01E83B92" w14:textId="2162F7CA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6" w:history="1">
        <w:r w:rsidR="006A7E8A" w:rsidRPr="0031330E">
          <w:rPr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  <w:r w:rsidR="00903236">
        <w:rPr>
          <w:rFonts w:ascii="Barlow" w:hAnsi="Barlow" w:cs="Arial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0F46" w14:textId="77777777" w:rsidR="00D5682A" w:rsidRDefault="00D5682A">
      <w:pPr>
        <w:spacing w:after="0" w:line="240" w:lineRule="auto"/>
      </w:pPr>
      <w:r>
        <w:separator/>
      </w:r>
    </w:p>
    <w:p w14:paraId="2FE7E1DF" w14:textId="77777777" w:rsidR="00D5682A" w:rsidRDefault="00D5682A"/>
  </w:endnote>
  <w:endnote w:type="continuationSeparator" w:id="0">
    <w:p w14:paraId="064C595B" w14:textId="77777777" w:rsidR="00D5682A" w:rsidRDefault="00D5682A">
      <w:pPr>
        <w:spacing w:after="0" w:line="240" w:lineRule="auto"/>
      </w:pPr>
      <w:r>
        <w:continuationSeparator/>
      </w:r>
    </w:p>
    <w:p w14:paraId="3A0C9AC0" w14:textId="77777777" w:rsidR="00D5682A" w:rsidRDefault="00D5682A"/>
  </w:endnote>
  <w:endnote w:type="continuationNotice" w:id="1">
    <w:p w14:paraId="6F05B8EE" w14:textId="77777777" w:rsidR="00D5682A" w:rsidRDefault="00D56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7811" w14:textId="77777777" w:rsidR="00D5682A" w:rsidRDefault="00D5682A">
      <w:pPr>
        <w:spacing w:after="0" w:line="240" w:lineRule="auto"/>
      </w:pPr>
      <w:r>
        <w:separator/>
      </w:r>
    </w:p>
    <w:p w14:paraId="4C891312" w14:textId="77777777" w:rsidR="00D5682A" w:rsidRDefault="00D5682A"/>
  </w:footnote>
  <w:footnote w:type="continuationSeparator" w:id="0">
    <w:p w14:paraId="35332D4B" w14:textId="77777777" w:rsidR="00D5682A" w:rsidRDefault="00D5682A">
      <w:pPr>
        <w:spacing w:after="0" w:line="240" w:lineRule="auto"/>
      </w:pPr>
      <w:r>
        <w:continuationSeparator/>
      </w:r>
    </w:p>
    <w:p w14:paraId="075D5AA9" w14:textId="77777777" w:rsidR="00D5682A" w:rsidRDefault="00D5682A"/>
  </w:footnote>
  <w:footnote w:type="continuationNotice" w:id="1">
    <w:p w14:paraId="75B17F6A" w14:textId="77777777" w:rsidR="00D5682A" w:rsidRDefault="00D56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32995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D32D4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71054"/>
    <w:rsid w:val="0027158C"/>
    <w:rsid w:val="0027230D"/>
    <w:rsid w:val="002750CE"/>
    <w:rsid w:val="002751E3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6134E"/>
    <w:rsid w:val="003806C0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83484"/>
    <w:rsid w:val="00690D14"/>
    <w:rsid w:val="00694F81"/>
    <w:rsid w:val="006A5337"/>
    <w:rsid w:val="006A7E8A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D5494"/>
    <w:rsid w:val="009E4788"/>
    <w:rsid w:val="00A050F5"/>
    <w:rsid w:val="00A10288"/>
    <w:rsid w:val="00A1535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96C68"/>
    <w:rsid w:val="00AA3C87"/>
    <w:rsid w:val="00AB326E"/>
    <w:rsid w:val="00AB741E"/>
    <w:rsid w:val="00AC635F"/>
    <w:rsid w:val="00AC6364"/>
    <w:rsid w:val="00AD56D5"/>
    <w:rsid w:val="00AF0453"/>
    <w:rsid w:val="00AF15CE"/>
    <w:rsid w:val="00B044AF"/>
    <w:rsid w:val="00B07801"/>
    <w:rsid w:val="00B120F4"/>
    <w:rsid w:val="00B13C4D"/>
    <w:rsid w:val="00B14BE7"/>
    <w:rsid w:val="00B21C1F"/>
    <w:rsid w:val="00B2416A"/>
    <w:rsid w:val="00B268F7"/>
    <w:rsid w:val="00B325D1"/>
    <w:rsid w:val="00B422E1"/>
    <w:rsid w:val="00B8642B"/>
    <w:rsid w:val="00B86CC7"/>
    <w:rsid w:val="00B939B8"/>
    <w:rsid w:val="00B94F04"/>
    <w:rsid w:val="00B95723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CF69EB"/>
    <w:rsid w:val="00D159CA"/>
    <w:rsid w:val="00D30D8B"/>
    <w:rsid w:val="00D456BD"/>
    <w:rsid w:val="00D54AE3"/>
    <w:rsid w:val="00D5682A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2FAD"/>
    <w:rsid w:val="00EA5B26"/>
    <w:rsid w:val="00EB2953"/>
    <w:rsid w:val="00EC1C78"/>
    <w:rsid w:val="00ED4E89"/>
    <w:rsid w:val="00ED5E16"/>
    <w:rsid w:val="00ED78AC"/>
    <w:rsid w:val="00ED7DC9"/>
    <w:rsid w:val="00EE168F"/>
    <w:rsid w:val="00EE618D"/>
    <w:rsid w:val="00EF05E5"/>
    <w:rsid w:val="00EF40BC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es-lentz.lu/en/municipalities/self-driving-shuttle-for-short-distanc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ales-lentz.lu/en/municipalities/self-driving-shuttle-for-short-distan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ws.goodyear.eu/pl-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eforcities.org/press/urgent-action-needed-to-prevent-air-pollution-rising-as-covid-restrictions-en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stainable-bus.com/news/electric-bus-market-to-reach-a-40-share-in-europe-by-2025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goodyear.eu/goodyear-drive-over-reader-wins-third-innovation-award-in-one-yea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4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2021-05-12T06:16:00Z</dcterms:created>
  <dcterms:modified xsi:type="dcterms:W3CDTF">2021-05-12T06:33:00Z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